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01" w:rsidRDefault="00F53201" w:rsidP="00F53201">
      <w:pPr>
        <w:jc w:val="center"/>
        <w:rPr>
          <w:b/>
        </w:rPr>
      </w:pPr>
    </w:p>
    <w:p w:rsidR="00F53201" w:rsidRDefault="00F53201" w:rsidP="00F53201">
      <w:pPr>
        <w:jc w:val="center"/>
        <w:rPr>
          <w:b/>
        </w:rPr>
      </w:pPr>
    </w:p>
    <w:p w:rsidR="00F53201" w:rsidRPr="00F53201" w:rsidRDefault="00F53201" w:rsidP="00F53201">
      <w:pPr>
        <w:jc w:val="center"/>
        <w:rPr>
          <w:b/>
        </w:rPr>
      </w:pPr>
      <w:r w:rsidRPr="00F53201">
        <w:rPr>
          <w:b/>
        </w:rPr>
        <w:t>SAFEGUARDING POLICY</w:t>
      </w:r>
    </w:p>
    <w:p w:rsidR="00F53201" w:rsidRPr="00F53201" w:rsidRDefault="00F53201" w:rsidP="00F53201">
      <w:r w:rsidRPr="00F53201">
        <w:t xml:space="preserve">At Free </w:t>
      </w:r>
      <w:proofErr w:type="gramStart"/>
      <w:r w:rsidRPr="00F53201">
        <w:t>To</w:t>
      </w:r>
      <w:proofErr w:type="gramEnd"/>
      <w:r w:rsidRPr="00F53201">
        <w:t xml:space="preserve"> Talk</w:t>
      </w:r>
      <w:r>
        <w:t xml:space="preserve"> </w:t>
      </w:r>
      <w:r w:rsidRPr="00F53201">
        <w:t>we understand and define safeguarding as an important part of the</w:t>
      </w:r>
      <w:r>
        <w:t xml:space="preserve"> </w:t>
      </w:r>
      <w:r w:rsidRPr="00F53201">
        <w:t>organisation to support clients’ welfare and wellbeing, including children and vulnerable adults.</w:t>
      </w:r>
      <w:r w:rsidR="00592532">
        <w:t xml:space="preserve"> </w:t>
      </w:r>
      <w:r w:rsidRPr="00F53201">
        <w:t>This policy seeks to ensure that we undertake our responsibilities for the protection of children</w:t>
      </w:r>
      <w:r>
        <w:t xml:space="preserve"> </w:t>
      </w:r>
      <w:r w:rsidRPr="00F53201">
        <w:t>and/or vulnerable adults and respond to concerns appropriately. The policy establishes a framework</w:t>
      </w:r>
      <w:r>
        <w:t xml:space="preserve"> </w:t>
      </w:r>
      <w:r w:rsidRPr="00F53201">
        <w:t xml:space="preserve">to </w:t>
      </w:r>
      <w:r w:rsidR="00D84BCE" w:rsidRPr="00F53201">
        <w:t xml:space="preserve">support </w:t>
      </w:r>
      <w:r w:rsidR="00D84BCE">
        <w:t>counsellors</w:t>
      </w:r>
      <w:r>
        <w:t xml:space="preserve"> </w:t>
      </w:r>
      <w:r w:rsidRPr="00F53201">
        <w:t>in their practices – and clarifies</w:t>
      </w:r>
      <w:r>
        <w:t xml:space="preserve"> </w:t>
      </w:r>
      <w:r w:rsidRPr="00F53201">
        <w:t>our expectations as an organisation.</w:t>
      </w:r>
    </w:p>
    <w:p w:rsidR="00F53201" w:rsidRPr="00F53201" w:rsidRDefault="00F53201" w:rsidP="00F53201">
      <w:r w:rsidRPr="00F53201">
        <w:t>Safeguarding is everyone’s responsib</w:t>
      </w:r>
      <w:r>
        <w:t>ility. Staff (paid and unpaid)</w:t>
      </w:r>
      <w:r w:rsidRPr="00F53201">
        <w:t xml:space="preserve">, </w:t>
      </w:r>
      <w:r w:rsidR="00592532">
        <w:t xml:space="preserve"> and counsellors </w:t>
      </w:r>
      <w:r>
        <w:t>a</w:t>
      </w:r>
      <w:r w:rsidRPr="00F53201">
        <w:t>t FREE TO TALK have a duty to report safeguarding concerns, but not to investigate them or approach the</w:t>
      </w:r>
      <w:r>
        <w:t xml:space="preserve"> </w:t>
      </w:r>
      <w:r w:rsidRPr="00F53201">
        <w:t>alleged perpetrator(s) of the abuse. It will be investigated by social services or the relevant</w:t>
      </w:r>
      <w:r>
        <w:t xml:space="preserve"> </w:t>
      </w:r>
      <w:r w:rsidRPr="00F53201">
        <w:t>safeguarding team.</w:t>
      </w:r>
    </w:p>
    <w:p w:rsidR="00F53201" w:rsidRPr="00F53201" w:rsidRDefault="00592532" w:rsidP="00F53201">
      <w:r>
        <w:t>FREE TO TALK’S</w:t>
      </w:r>
      <w:r w:rsidR="00F53201" w:rsidRPr="00F53201">
        <w:t xml:space="preserve"> safeguarding policy recognises and follows the six safeguarding principles below, as outlined</w:t>
      </w:r>
      <w:r>
        <w:t xml:space="preserve"> </w:t>
      </w:r>
      <w:r w:rsidR="00F53201" w:rsidRPr="00F53201">
        <w:t>in the Care Act 2014, which underpin all safeguarding work.</w:t>
      </w:r>
    </w:p>
    <w:p w:rsidR="00F53201" w:rsidRPr="00F53201" w:rsidRDefault="00F53201" w:rsidP="00592532">
      <w:pPr>
        <w:pStyle w:val="ListParagraph"/>
        <w:numPr>
          <w:ilvl w:val="0"/>
          <w:numId w:val="17"/>
        </w:numPr>
      </w:pPr>
      <w:r w:rsidRPr="00F53201">
        <w:t>Empowerment: Personalisation and presumption of person-led decisions and informed</w:t>
      </w:r>
      <w:r>
        <w:t xml:space="preserve"> </w:t>
      </w:r>
      <w:r w:rsidRPr="00F53201">
        <w:t>consent.</w:t>
      </w:r>
    </w:p>
    <w:p w:rsidR="00F53201" w:rsidRPr="00F53201" w:rsidRDefault="00F53201" w:rsidP="00592532">
      <w:pPr>
        <w:pStyle w:val="ListParagraph"/>
        <w:numPr>
          <w:ilvl w:val="0"/>
          <w:numId w:val="17"/>
        </w:numPr>
      </w:pPr>
      <w:r w:rsidRPr="00F53201">
        <w:t>Prevention: It is better to take action before harm occurs.</w:t>
      </w:r>
    </w:p>
    <w:p w:rsidR="00F53201" w:rsidRPr="00F53201" w:rsidRDefault="00F53201" w:rsidP="00592532">
      <w:pPr>
        <w:pStyle w:val="ListParagraph"/>
        <w:numPr>
          <w:ilvl w:val="0"/>
          <w:numId w:val="17"/>
        </w:numPr>
      </w:pPr>
      <w:r w:rsidRPr="00F53201">
        <w:t>Proportionality: Proportionate and least intrusive response appropriate to the risk</w:t>
      </w:r>
      <w:r>
        <w:t xml:space="preserve"> </w:t>
      </w:r>
      <w:r w:rsidRPr="00F53201">
        <w:t>presented.</w:t>
      </w:r>
    </w:p>
    <w:p w:rsidR="00F53201" w:rsidRPr="00F53201" w:rsidRDefault="00F53201" w:rsidP="00592532">
      <w:pPr>
        <w:pStyle w:val="ListParagraph"/>
        <w:numPr>
          <w:ilvl w:val="0"/>
          <w:numId w:val="17"/>
        </w:numPr>
      </w:pPr>
      <w:r w:rsidRPr="00F53201">
        <w:t>Protection: Support and representation for those in greatest need.</w:t>
      </w:r>
    </w:p>
    <w:p w:rsidR="00F53201" w:rsidRPr="00F53201" w:rsidRDefault="00F53201" w:rsidP="00592532">
      <w:pPr>
        <w:pStyle w:val="ListParagraph"/>
        <w:numPr>
          <w:ilvl w:val="0"/>
          <w:numId w:val="17"/>
        </w:numPr>
      </w:pPr>
      <w:r w:rsidRPr="00F53201">
        <w:t>Partnership: Local solutions through services working with their communities.</w:t>
      </w:r>
    </w:p>
    <w:p w:rsidR="00F53201" w:rsidRPr="00F53201" w:rsidRDefault="00F53201" w:rsidP="00592532">
      <w:pPr>
        <w:pStyle w:val="ListParagraph"/>
        <w:numPr>
          <w:ilvl w:val="0"/>
          <w:numId w:val="17"/>
        </w:numPr>
      </w:pPr>
      <w:r w:rsidRPr="00F53201">
        <w:t>Accountability: Accountability and transparency in delivering safeguarding.</w:t>
      </w:r>
    </w:p>
    <w:p w:rsidR="00F53201" w:rsidRDefault="00F53201" w:rsidP="00F53201"/>
    <w:p w:rsidR="00F53201" w:rsidRPr="00F53201" w:rsidRDefault="00F53201" w:rsidP="00F53201">
      <w:pPr>
        <w:rPr>
          <w:b/>
        </w:rPr>
      </w:pPr>
      <w:r w:rsidRPr="00F53201">
        <w:rPr>
          <w:b/>
        </w:rPr>
        <w:t>Other Relevant Legislation:</w:t>
      </w:r>
    </w:p>
    <w:p w:rsidR="00F53201" w:rsidRPr="00F53201" w:rsidRDefault="00F53201" w:rsidP="00F53201">
      <w:r w:rsidRPr="00F53201">
        <w:t>The principal pieces of legislation governing this policy are:</w:t>
      </w:r>
    </w:p>
    <w:p w:rsidR="00F53201" w:rsidRPr="00F53201" w:rsidRDefault="00F53201" w:rsidP="00592532">
      <w:pPr>
        <w:pStyle w:val="ListParagraph"/>
        <w:numPr>
          <w:ilvl w:val="0"/>
          <w:numId w:val="20"/>
        </w:numPr>
      </w:pPr>
      <w:r w:rsidRPr="00F53201">
        <w:t>Adoption and Children Act 2002.</w:t>
      </w:r>
    </w:p>
    <w:p w:rsidR="00F53201" w:rsidRPr="00F53201" w:rsidRDefault="00F53201" w:rsidP="00592532">
      <w:pPr>
        <w:pStyle w:val="ListParagraph"/>
        <w:numPr>
          <w:ilvl w:val="0"/>
          <w:numId w:val="20"/>
        </w:numPr>
      </w:pPr>
      <w:r w:rsidRPr="00F53201">
        <w:t>Care Standards Act 2000.</w:t>
      </w:r>
    </w:p>
    <w:p w:rsidR="00F53201" w:rsidRPr="00F53201" w:rsidRDefault="00F53201" w:rsidP="00592532">
      <w:pPr>
        <w:pStyle w:val="ListParagraph"/>
        <w:numPr>
          <w:ilvl w:val="0"/>
          <w:numId w:val="20"/>
        </w:numPr>
      </w:pPr>
      <w:r w:rsidRPr="00F53201">
        <w:t>Children Act 1989.</w:t>
      </w:r>
    </w:p>
    <w:p w:rsidR="00F53201" w:rsidRPr="00F53201" w:rsidRDefault="00F53201" w:rsidP="00592532">
      <w:pPr>
        <w:pStyle w:val="ListParagraph"/>
        <w:numPr>
          <w:ilvl w:val="0"/>
          <w:numId w:val="20"/>
        </w:numPr>
      </w:pPr>
      <w:r w:rsidRPr="00F53201">
        <w:t>Children Act 2004.</w:t>
      </w:r>
    </w:p>
    <w:p w:rsidR="00F53201" w:rsidRPr="00F53201" w:rsidRDefault="00F53201" w:rsidP="00592532">
      <w:pPr>
        <w:pStyle w:val="ListParagraph"/>
        <w:numPr>
          <w:ilvl w:val="0"/>
          <w:numId w:val="20"/>
        </w:numPr>
      </w:pPr>
      <w:r w:rsidRPr="00F53201">
        <w:t>Mental Capacity Act 2005.</w:t>
      </w:r>
    </w:p>
    <w:p w:rsidR="00F53201" w:rsidRPr="00F53201" w:rsidRDefault="00F53201" w:rsidP="00592532">
      <w:pPr>
        <w:pStyle w:val="ListParagraph"/>
        <w:numPr>
          <w:ilvl w:val="0"/>
          <w:numId w:val="20"/>
        </w:numPr>
      </w:pPr>
      <w:r w:rsidRPr="00F53201">
        <w:t>Mental Capacity (Amendment) Act 2019.</w:t>
      </w:r>
    </w:p>
    <w:p w:rsidR="00592532" w:rsidRDefault="00F53201" w:rsidP="00592532">
      <w:pPr>
        <w:pStyle w:val="ListParagraph"/>
        <w:numPr>
          <w:ilvl w:val="0"/>
          <w:numId w:val="20"/>
        </w:numPr>
      </w:pPr>
      <w:r w:rsidRPr="00F53201">
        <w:t>Mental Health Act 1983.</w:t>
      </w:r>
    </w:p>
    <w:p w:rsidR="00592532" w:rsidRDefault="00F53201" w:rsidP="00592532">
      <w:pPr>
        <w:pStyle w:val="ListParagraph"/>
        <w:numPr>
          <w:ilvl w:val="0"/>
          <w:numId w:val="20"/>
        </w:numPr>
      </w:pPr>
      <w:r w:rsidRPr="00F53201">
        <w:t>Mental Health Act 2007.</w:t>
      </w:r>
    </w:p>
    <w:p w:rsidR="00592532" w:rsidRDefault="00F53201" w:rsidP="00592532">
      <w:pPr>
        <w:pStyle w:val="ListParagraph"/>
        <w:numPr>
          <w:ilvl w:val="0"/>
          <w:numId w:val="20"/>
        </w:numPr>
      </w:pPr>
      <w:r w:rsidRPr="00F53201">
        <w:t>NHS and Community Care Act 1990.</w:t>
      </w:r>
    </w:p>
    <w:p w:rsidR="00592532" w:rsidRDefault="00F53201" w:rsidP="00592532">
      <w:pPr>
        <w:pStyle w:val="ListParagraph"/>
        <w:numPr>
          <w:ilvl w:val="0"/>
          <w:numId w:val="20"/>
        </w:numPr>
      </w:pPr>
      <w:r w:rsidRPr="00F53201">
        <w:t>Police Act 1997.</w:t>
      </w:r>
    </w:p>
    <w:p w:rsidR="00592532" w:rsidRDefault="00F53201" w:rsidP="00592532">
      <w:pPr>
        <w:pStyle w:val="ListParagraph"/>
        <w:numPr>
          <w:ilvl w:val="0"/>
          <w:numId w:val="20"/>
        </w:numPr>
      </w:pPr>
      <w:r w:rsidRPr="00F53201">
        <w:t>The PREVENT Strategy.</w:t>
      </w:r>
    </w:p>
    <w:p w:rsidR="00592532" w:rsidRDefault="00F53201" w:rsidP="00592532">
      <w:pPr>
        <w:pStyle w:val="ListParagraph"/>
        <w:numPr>
          <w:ilvl w:val="0"/>
          <w:numId w:val="20"/>
        </w:numPr>
      </w:pPr>
      <w:r w:rsidRPr="00F53201">
        <w:t>The Public Interest Disclosure Act 1998.</w:t>
      </w:r>
    </w:p>
    <w:p w:rsidR="00592532" w:rsidRDefault="00F53201" w:rsidP="00592532">
      <w:pPr>
        <w:pStyle w:val="ListParagraph"/>
        <w:numPr>
          <w:ilvl w:val="0"/>
          <w:numId w:val="20"/>
        </w:numPr>
      </w:pPr>
      <w:r w:rsidRPr="00F53201">
        <w:t>Rehabilitation of Offenders Act 1974.</w:t>
      </w:r>
    </w:p>
    <w:p w:rsidR="00592532" w:rsidRDefault="00F53201" w:rsidP="00592532">
      <w:pPr>
        <w:pStyle w:val="ListParagraph"/>
        <w:numPr>
          <w:ilvl w:val="0"/>
          <w:numId w:val="20"/>
        </w:numPr>
      </w:pPr>
      <w:r w:rsidRPr="00F53201">
        <w:lastRenderedPageBreak/>
        <w:t>Safeguarding Vulnerable Groups Act 2006.</w:t>
      </w:r>
    </w:p>
    <w:p w:rsidR="00F53201" w:rsidRPr="00F53201" w:rsidRDefault="00F53201" w:rsidP="00592532">
      <w:pPr>
        <w:pStyle w:val="ListParagraph"/>
        <w:numPr>
          <w:ilvl w:val="0"/>
          <w:numId w:val="20"/>
        </w:numPr>
      </w:pPr>
      <w:r w:rsidRPr="00F53201">
        <w:t>Working Together to Safeguard Children 2018.</w:t>
      </w:r>
    </w:p>
    <w:p w:rsidR="00592532" w:rsidRDefault="00592532" w:rsidP="00F53201"/>
    <w:p w:rsidR="00F53201" w:rsidRPr="00F53201" w:rsidRDefault="00F53201" w:rsidP="00F53201">
      <w:r w:rsidRPr="00F53201">
        <w:t>FREE TO TALK has a responsibility to the safety of both clients and Counsellors:</w:t>
      </w:r>
    </w:p>
    <w:p w:rsidR="00F53201" w:rsidRPr="00F53201" w:rsidRDefault="00F53201" w:rsidP="00592532">
      <w:pPr>
        <w:pStyle w:val="ListParagraph"/>
        <w:numPr>
          <w:ilvl w:val="0"/>
          <w:numId w:val="19"/>
        </w:numPr>
      </w:pPr>
      <w:r w:rsidRPr="00F53201">
        <w:t>Measures are in place to support safe and responsible lone working.</w:t>
      </w:r>
    </w:p>
    <w:p w:rsidR="00F53201" w:rsidRPr="00F53201" w:rsidRDefault="00F53201" w:rsidP="00592532">
      <w:pPr>
        <w:pStyle w:val="ListParagraph"/>
        <w:numPr>
          <w:ilvl w:val="0"/>
          <w:numId w:val="19"/>
        </w:numPr>
      </w:pPr>
      <w:r w:rsidRPr="00F53201">
        <w:t>All clients are assessed before entering our counselling services.</w:t>
      </w:r>
    </w:p>
    <w:p w:rsidR="00F53201" w:rsidRPr="00F53201" w:rsidRDefault="00F53201" w:rsidP="00592532">
      <w:pPr>
        <w:pStyle w:val="ListParagraph"/>
        <w:numPr>
          <w:ilvl w:val="0"/>
          <w:numId w:val="19"/>
        </w:numPr>
      </w:pPr>
      <w:r w:rsidRPr="00F53201">
        <w:t xml:space="preserve">All FREE TO TALK Counsellors are covered by FREE TO </w:t>
      </w:r>
      <w:proofErr w:type="spellStart"/>
      <w:r w:rsidRPr="00F53201">
        <w:t>TALK’s</w:t>
      </w:r>
      <w:proofErr w:type="spellEnd"/>
      <w:r w:rsidRPr="00F53201">
        <w:t xml:space="preserve"> Certificate of Professional Liability insurance, are</w:t>
      </w:r>
      <w:r>
        <w:t xml:space="preserve"> </w:t>
      </w:r>
      <w:r w:rsidRPr="00F53201">
        <w:t>enhanc</w:t>
      </w:r>
      <w:r w:rsidR="00D84BCE">
        <w:t>ed DBS registered and a</w:t>
      </w:r>
      <w:bookmarkStart w:id="0" w:name="_GoBack"/>
      <w:bookmarkEnd w:id="0"/>
      <w:r w:rsidRPr="00F53201">
        <w:t xml:space="preserve"> member of a counselling professional body.</w:t>
      </w:r>
    </w:p>
    <w:p w:rsidR="00F53201" w:rsidRPr="00F53201" w:rsidRDefault="00F53201" w:rsidP="00F53201">
      <w:pPr>
        <w:rPr>
          <w:b/>
        </w:rPr>
      </w:pPr>
      <w:r w:rsidRPr="00F53201">
        <w:rPr>
          <w:b/>
        </w:rPr>
        <w:t>Confidentiality</w:t>
      </w:r>
    </w:p>
    <w:p w:rsidR="00F53201" w:rsidRPr="00F53201" w:rsidRDefault="00F53201" w:rsidP="00F53201">
      <w:r w:rsidRPr="00F53201">
        <w:t xml:space="preserve">FREE TO TALK offers confidential counselling services to its clients in accordance with the </w:t>
      </w:r>
      <w:proofErr w:type="spellStart"/>
      <w:r w:rsidRPr="00F53201">
        <w:t>BACP</w:t>
      </w:r>
      <w:proofErr w:type="spellEnd"/>
      <w:r w:rsidRPr="00F53201">
        <w:t xml:space="preserve"> Ethical</w:t>
      </w:r>
      <w:r>
        <w:t xml:space="preserve"> </w:t>
      </w:r>
      <w:r w:rsidRPr="00F53201">
        <w:t>Framework for the Counselling Professions. Clients may disclose personal information with a</w:t>
      </w:r>
      <w:r>
        <w:t xml:space="preserve"> </w:t>
      </w:r>
      <w:r w:rsidRPr="00F53201">
        <w:t>counsellor and feel confident to do this if they are reassured their personal information will be</w:t>
      </w:r>
      <w:r>
        <w:t xml:space="preserve"> </w:t>
      </w:r>
      <w:r w:rsidRPr="00F53201">
        <w:t>discussed and recorded in confidence. However, FREE TO TALK believes the need to protect vulnerable adults</w:t>
      </w:r>
      <w:r>
        <w:t xml:space="preserve"> </w:t>
      </w:r>
      <w:r w:rsidRPr="00F53201">
        <w:t>and keep children safe from abuse takes precedence over the usual commitment to confidentiality.</w:t>
      </w:r>
      <w:r>
        <w:t xml:space="preserve"> </w:t>
      </w:r>
      <w:r w:rsidRPr="00F53201">
        <w:t>This should always be stated cle</w:t>
      </w:r>
      <w:r>
        <w:t>arly at the start of any counselling</w:t>
      </w:r>
      <w:r w:rsidRPr="00F53201">
        <w:t>.</w:t>
      </w:r>
    </w:p>
    <w:p w:rsidR="00F53201" w:rsidRPr="00F53201" w:rsidRDefault="00F53201" w:rsidP="00F53201">
      <w:pPr>
        <w:rPr>
          <w:b/>
        </w:rPr>
      </w:pPr>
      <w:r w:rsidRPr="00F53201">
        <w:rPr>
          <w:b/>
        </w:rPr>
        <w:t>Definition of Abuse and Forms of Abuse:</w:t>
      </w:r>
    </w:p>
    <w:p w:rsidR="00F53201" w:rsidRPr="00F53201" w:rsidRDefault="00F53201" w:rsidP="00F53201">
      <w:r w:rsidRPr="00F53201">
        <w:t>Abuse is carried out where there is an imbalance of power by someone in a position of authority who</w:t>
      </w:r>
      <w:r>
        <w:t xml:space="preserve"> </w:t>
      </w:r>
      <w:r w:rsidRPr="00F53201">
        <w:t>seeks to exploit, manipulate, harm or oppress another person. Abuse is not restricted to any socioeconomic group, gender or culture.</w:t>
      </w:r>
    </w:p>
    <w:p w:rsidR="00F53201" w:rsidRPr="00F53201" w:rsidRDefault="00F53201" w:rsidP="00F53201">
      <w:r w:rsidRPr="00F53201">
        <w:t>Abuse can take a number of forms, including the following: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Physical abuse.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Sexual abuse.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Emotional abuse.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Bullying.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Neglect.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Financial (or material) abuse.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Radicalisation.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Female genital mutilation.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Forced marriage.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‘Honour’ based violence.</w:t>
      </w:r>
    </w:p>
    <w:p w:rsidR="00F53201" w:rsidRDefault="00F53201" w:rsidP="00592532">
      <w:pPr>
        <w:pStyle w:val="ListParagraph"/>
        <w:numPr>
          <w:ilvl w:val="0"/>
          <w:numId w:val="21"/>
        </w:numPr>
      </w:pPr>
      <w:r w:rsidRPr="00F53201">
        <w:t>Elder abuse.</w:t>
      </w:r>
    </w:p>
    <w:p w:rsidR="00F53201" w:rsidRDefault="00F53201" w:rsidP="00592532">
      <w:pPr>
        <w:pStyle w:val="ListParagraph"/>
        <w:numPr>
          <w:ilvl w:val="0"/>
          <w:numId w:val="21"/>
        </w:numPr>
      </w:pPr>
      <w:r w:rsidRPr="00F53201">
        <w:t>Child sexual exploitation, including prostitution and the possession of and viewing child</w:t>
      </w:r>
      <w:r>
        <w:t xml:space="preserve"> </w:t>
      </w:r>
      <w:r w:rsidRPr="00F53201">
        <w:t>pornography.</w:t>
      </w:r>
    </w:p>
    <w:p w:rsidR="00F53201" w:rsidRPr="00F53201" w:rsidRDefault="00F53201" w:rsidP="00592532">
      <w:pPr>
        <w:pStyle w:val="ListParagraph"/>
        <w:numPr>
          <w:ilvl w:val="0"/>
          <w:numId w:val="21"/>
        </w:numPr>
      </w:pPr>
      <w:r w:rsidRPr="00F53201">
        <w:t>Modern slavery and human trafficking.</w:t>
      </w:r>
    </w:p>
    <w:p w:rsidR="00F53201" w:rsidRDefault="00F53201" w:rsidP="00F53201"/>
    <w:p w:rsidR="00F53201" w:rsidRDefault="00F53201" w:rsidP="00F53201"/>
    <w:p w:rsidR="00592532" w:rsidRDefault="00592532" w:rsidP="00F53201">
      <w:pPr>
        <w:rPr>
          <w:b/>
        </w:rPr>
      </w:pPr>
    </w:p>
    <w:p w:rsidR="00F53201" w:rsidRPr="00F53201" w:rsidRDefault="00F53201" w:rsidP="00F53201">
      <w:pPr>
        <w:rPr>
          <w:b/>
        </w:rPr>
      </w:pPr>
      <w:r w:rsidRPr="00F53201">
        <w:rPr>
          <w:b/>
        </w:rPr>
        <w:t>Definition of a Child</w:t>
      </w:r>
    </w:p>
    <w:p w:rsidR="00F53201" w:rsidRPr="00F53201" w:rsidRDefault="00F53201" w:rsidP="00F53201">
      <w:r w:rsidRPr="00F53201">
        <w:t>A child is under the age of 18 (as defined in the United Nations convention on the Rights of a Child).</w:t>
      </w:r>
    </w:p>
    <w:p w:rsidR="00F53201" w:rsidRPr="00F53201" w:rsidRDefault="00F53201" w:rsidP="00F53201">
      <w:pPr>
        <w:rPr>
          <w:b/>
        </w:rPr>
      </w:pPr>
      <w:r w:rsidRPr="00F53201">
        <w:rPr>
          <w:b/>
        </w:rPr>
        <w:t>Definition of Vulnerable Adults</w:t>
      </w:r>
    </w:p>
    <w:p w:rsidR="00F53201" w:rsidRPr="00F53201" w:rsidRDefault="00F53201" w:rsidP="00F53201">
      <w:r w:rsidRPr="00F53201">
        <w:t>A vulnerable adult is a person aged 18 years or over who may be unable to take care of themselves</w:t>
      </w:r>
      <w:r>
        <w:t xml:space="preserve"> </w:t>
      </w:r>
      <w:r w:rsidRPr="00F53201">
        <w:t>or protect themselves from harm or from being exploited. This may include a person who:</w:t>
      </w:r>
    </w:p>
    <w:p w:rsidR="00F53201" w:rsidRPr="00F53201" w:rsidRDefault="00F53201" w:rsidP="00592532">
      <w:pPr>
        <w:pStyle w:val="ListParagraph"/>
        <w:numPr>
          <w:ilvl w:val="0"/>
          <w:numId w:val="22"/>
        </w:numPr>
      </w:pPr>
      <w:r w:rsidRPr="00F53201">
        <w:t>Is elderly and frail.</w:t>
      </w:r>
    </w:p>
    <w:p w:rsidR="00F53201" w:rsidRPr="00F53201" w:rsidRDefault="00F53201" w:rsidP="00592532">
      <w:pPr>
        <w:pStyle w:val="ListParagraph"/>
        <w:numPr>
          <w:ilvl w:val="0"/>
          <w:numId w:val="22"/>
        </w:numPr>
      </w:pPr>
      <w:r w:rsidRPr="00F53201">
        <w:t>Has a mental illness including dementia.</w:t>
      </w:r>
    </w:p>
    <w:p w:rsidR="00F53201" w:rsidRPr="00F53201" w:rsidRDefault="00F53201" w:rsidP="00592532">
      <w:pPr>
        <w:pStyle w:val="ListParagraph"/>
        <w:numPr>
          <w:ilvl w:val="0"/>
          <w:numId w:val="22"/>
        </w:numPr>
      </w:pPr>
      <w:r w:rsidRPr="00F53201">
        <w:t>Has a physical or sensory disability.</w:t>
      </w:r>
    </w:p>
    <w:p w:rsidR="00F53201" w:rsidRPr="00F53201" w:rsidRDefault="00F53201" w:rsidP="00592532">
      <w:pPr>
        <w:pStyle w:val="ListParagraph"/>
        <w:numPr>
          <w:ilvl w:val="0"/>
          <w:numId w:val="22"/>
        </w:numPr>
      </w:pPr>
      <w:r w:rsidRPr="00F53201">
        <w:t>Has a learning disability.</w:t>
      </w:r>
    </w:p>
    <w:p w:rsidR="00F53201" w:rsidRPr="00F53201" w:rsidRDefault="00F53201" w:rsidP="00592532">
      <w:pPr>
        <w:pStyle w:val="ListParagraph"/>
        <w:numPr>
          <w:ilvl w:val="0"/>
          <w:numId w:val="22"/>
        </w:numPr>
      </w:pPr>
      <w:r w:rsidRPr="00F53201">
        <w:t>Has a severe physical illness.</w:t>
      </w:r>
    </w:p>
    <w:p w:rsidR="00F53201" w:rsidRPr="00F53201" w:rsidRDefault="00F53201" w:rsidP="00592532">
      <w:pPr>
        <w:pStyle w:val="ListParagraph"/>
        <w:numPr>
          <w:ilvl w:val="0"/>
          <w:numId w:val="22"/>
        </w:numPr>
      </w:pPr>
      <w:r w:rsidRPr="00F53201">
        <w:t>Is a substance misuser.</w:t>
      </w:r>
    </w:p>
    <w:p w:rsidR="00F53201" w:rsidRPr="00F53201" w:rsidRDefault="00F53201" w:rsidP="00592532">
      <w:pPr>
        <w:pStyle w:val="ListParagraph"/>
        <w:numPr>
          <w:ilvl w:val="0"/>
          <w:numId w:val="22"/>
        </w:numPr>
      </w:pPr>
      <w:r w:rsidRPr="00F53201">
        <w:t>Is homeless.</w:t>
      </w:r>
    </w:p>
    <w:p w:rsidR="00F53201" w:rsidRPr="00F53201" w:rsidRDefault="00F53201" w:rsidP="00F53201">
      <w:pPr>
        <w:rPr>
          <w:b/>
        </w:rPr>
      </w:pPr>
      <w:r w:rsidRPr="00F53201">
        <w:rPr>
          <w:b/>
        </w:rPr>
        <w:t>Record Keeping</w:t>
      </w:r>
    </w:p>
    <w:p w:rsidR="00F53201" w:rsidRPr="00F53201" w:rsidRDefault="00F53201" w:rsidP="00F53201">
      <w:pPr>
        <w:rPr>
          <w:b/>
        </w:rPr>
      </w:pPr>
      <w:r w:rsidRPr="00F53201">
        <w:t xml:space="preserve">All records pertaining to employed staff, supervisors, </w:t>
      </w:r>
      <w:r w:rsidR="00592532" w:rsidRPr="00F53201">
        <w:t>Counsellors,</w:t>
      </w:r>
      <w:r w:rsidRPr="00F53201">
        <w:t xml:space="preserve"> and clients are securely stored electronically</w:t>
      </w:r>
      <w:r>
        <w:t xml:space="preserve"> </w:t>
      </w:r>
      <w:r w:rsidRPr="00F53201">
        <w:t xml:space="preserve">and maintained in accordance with the Data Protection Act 1998 and the General Data </w:t>
      </w:r>
      <w:r w:rsidRPr="00F53201">
        <w:rPr>
          <w:b/>
        </w:rPr>
        <w:t>Protection Regulations 2018.</w:t>
      </w:r>
    </w:p>
    <w:p w:rsidR="00F53201" w:rsidRPr="00F53201" w:rsidRDefault="00F53201" w:rsidP="00F53201">
      <w:pPr>
        <w:rPr>
          <w:b/>
        </w:rPr>
      </w:pPr>
      <w:r w:rsidRPr="00F53201">
        <w:rPr>
          <w:b/>
        </w:rPr>
        <w:t>Raising a Concern</w:t>
      </w:r>
    </w:p>
    <w:p w:rsidR="00F53201" w:rsidRPr="00F53201" w:rsidRDefault="00F53201" w:rsidP="00F53201">
      <w:r w:rsidRPr="00F53201">
        <w:t>FREE TO TALK e</w:t>
      </w:r>
      <w:r>
        <w:t xml:space="preserve">mployed </w:t>
      </w:r>
      <w:r w:rsidR="00592532">
        <w:t xml:space="preserve">staff </w:t>
      </w:r>
      <w:r w:rsidR="00592532" w:rsidRPr="00F53201">
        <w:t>and</w:t>
      </w:r>
      <w:r w:rsidRPr="00F53201">
        <w:t xml:space="preserve"> Counsellors are expected to be aware of the need for</w:t>
      </w:r>
      <w:r>
        <w:t xml:space="preserve"> </w:t>
      </w:r>
      <w:r w:rsidRPr="00F53201">
        <w:t>safeguarding and how it applies to their work with FREE TO TALK. They are required to take all reasonable</w:t>
      </w:r>
      <w:r>
        <w:t xml:space="preserve"> </w:t>
      </w:r>
      <w:r w:rsidRPr="00F53201">
        <w:t>measures to ensure the risks of harm to vulnerable adults and children are minimised.</w:t>
      </w:r>
      <w:r w:rsidR="00592532">
        <w:t xml:space="preserve"> </w:t>
      </w:r>
      <w:r w:rsidRPr="00F53201">
        <w:t>If a member of the public has a safeguarding concern, they should inform a member of the FREE TO TALK</w:t>
      </w:r>
      <w:r>
        <w:t xml:space="preserve"> </w:t>
      </w:r>
      <w:r w:rsidRPr="00F53201">
        <w:t>management team.</w:t>
      </w:r>
    </w:p>
    <w:p w:rsidR="00F53201" w:rsidRPr="00F53201" w:rsidRDefault="00F53201" w:rsidP="00F53201">
      <w:r w:rsidRPr="00F53201">
        <w:t>Where a counsellor is concerned there may be a safeguarding issue:</w:t>
      </w:r>
    </w:p>
    <w:p w:rsidR="00F53201" w:rsidRPr="00F53201" w:rsidRDefault="00F53201" w:rsidP="00592532">
      <w:pPr>
        <w:pStyle w:val="ListParagraph"/>
        <w:numPr>
          <w:ilvl w:val="0"/>
          <w:numId w:val="23"/>
        </w:numPr>
      </w:pPr>
      <w:r w:rsidRPr="00F53201">
        <w:t xml:space="preserve">Discuss your concern with your </w:t>
      </w:r>
      <w:r w:rsidR="00592532">
        <w:t>s</w:t>
      </w:r>
      <w:r w:rsidRPr="00F53201">
        <w:t>upervisor.</w:t>
      </w:r>
    </w:p>
    <w:p w:rsidR="00F53201" w:rsidRPr="00F53201" w:rsidRDefault="00F53201" w:rsidP="00592532">
      <w:pPr>
        <w:pStyle w:val="ListParagraph"/>
        <w:numPr>
          <w:ilvl w:val="0"/>
          <w:numId w:val="23"/>
        </w:numPr>
      </w:pPr>
      <w:r w:rsidRPr="00F53201">
        <w:t>Following discussion with yo</w:t>
      </w:r>
      <w:r w:rsidR="00592532">
        <w:t>ur s</w:t>
      </w:r>
      <w:r w:rsidRPr="00F53201">
        <w:t>upervisor, record your concerns within the client</w:t>
      </w:r>
      <w:r>
        <w:t xml:space="preserve"> </w:t>
      </w:r>
      <w:r w:rsidRPr="00F53201">
        <w:t>record.</w:t>
      </w:r>
    </w:p>
    <w:p w:rsidR="00F53201" w:rsidRPr="00F53201" w:rsidRDefault="00592532" w:rsidP="00592532">
      <w:pPr>
        <w:pStyle w:val="ListParagraph"/>
        <w:numPr>
          <w:ilvl w:val="0"/>
          <w:numId w:val="23"/>
        </w:numPr>
      </w:pPr>
      <w:r>
        <w:t>The s</w:t>
      </w:r>
      <w:r w:rsidRPr="00F53201">
        <w:t>upervisor</w:t>
      </w:r>
      <w:r w:rsidR="00F53201" w:rsidRPr="00F53201">
        <w:t xml:space="preserve"> will raise their concern and discuss possible actions with the</w:t>
      </w:r>
      <w:r w:rsidR="00F53201">
        <w:t xml:space="preserve"> </w:t>
      </w:r>
      <w:r w:rsidR="00F53201" w:rsidRPr="00F53201">
        <w:t>Designated Safeguarding Lead (DSL),</w:t>
      </w:r>
      <w:r w:rsidR="00F53201">
        <w:t xml:space="preserve"> Manager</w:t>
      </w:r>
      <w:r w:rsidR="00F53201" w:rsidRPr="00F53201">
        <w:t>.</w:t>
      </w:r>
    </w:p>
    <w:p w:rsidR="00F53201" w:rsidRPr="00F53201" w:rsidRDefault="00592532" w:rsidP="00592532">
      <w:pPr>
        <w:pStyle w:val="ListParagraph"/>
        <w:numPr>
          <w:ilvl w:val="0"/>
          <w:numId w:val="23"/>
        </w:numPr>
      </w:pPr>
      <w:r>
        <w:t>The s</w:t>
      </w:r>
      <w:r w:rsidR="00F53201" w:rsidRPr="00F53201">
        <w:t xml:space="preserve">upervisor and DSL will consider actions required </w:t>
      </w:r>
      <w:r w:rsidRPr="00F53201">
        <w:t>ensuring</w:t>
      </w:r>
      <w:r w:rsidR="00F53201" w:rsidRPr="00F53201">
        <w:t xml:space="preserve"> the child or</w:t>
      </w:r>
      <w:r w:rsidR="00F53201">
        <w:t xml:space="preserve"> </w:t>
      </w:r>
      <w:r w:rsidR="00F53201" w:rsidRPr="00F53201">
        <w:t>vulnerable adult is currently safe, and to put in place any immediate actions required.</w:t>
      </w:r>
    </w:p>
    <w:p w:rsidR="00F53201" w:rsidRPr="00F53201" w:rsidRDefault="00F53201" w:rsidP="00592532">
      <w:pPr>
        <w:pStyle w:val="ListParagraph"/>
        <w:numPr>
          <w:ilvl w:val="0"/>
          <w:numId w:val="23"/>
        </w:numPr>
      </w:pPr>
      <w:r w:rsidRPr="00F53201">
        <w:t>The DSL will offer support with making a safeguarding referral where agreed, or with</w:t>
      </w:r>
      <w:r>
        <w:t xml:space="preserve"> </w:t>
      </w:r>
      <w:r w:rsidRPr="00F53201">
        <w:t>undertaking any other appropriate steps.</w:t>
      </w:r>
    </w:p>
    <w:p w:rsidR="00F53201" w:rsidRPr="00F53201" w:rsidRDefault="00F53201" w:rsidP="00592532">
      <w:pPr>
        <w:pStyle w:val="ListParagraph"/>
        <w:numPr>
          <w:ilvl w:val="0"/>
          <w:numId w:val="23"/>
        </w:numPr>
      </w:pPr>
      <w:r w:rsidRPr="00F53201">
        <w:t>In the absence of the DSL con</w:t>
      </w:r>
      <w:r>
        <w:t xml:space="preserve">tact a </w:t>
      </w:r>
      <w:r w:rsidRPr="00F53201">
        <w:t xml:space="preserve">Free </w:t>
      </w:r>
      <w:proofErr w:type="gramStart"/>
      <w:r w:rsidRPr="00F53201">
        <w:t>To</w:t>
      </w:r>
      <w:proofErr w:type="gramEnd"/>
      <w:r w:rsidRPr="00F53201">
        <w:t xml:space="preserve"> Talk</w:t>
      </w:r>
      <w:r>
        <w:t xml:space="preserve"> </w:t>
      </w:r>
      <w:r w:rsidRPr="00F53201">
        <w:t>Manager.</w:t>
      </w:r>
    </w:p>
    <w:p w:rsidR="00F53201" w:rsidRDefault="00F53201" w:rsidP="00F53201"/>
    <w:p w:rsidR="00F53201" w:rsidRDefault="00F53201" w:rsidP="00F53201"/>
    <w:p w:rsidR="00F53201" w:rsidRPr="00F53201" w:rsidRDefault="00F53201" w:rsidP="00F53201"/>
    <w:p w:rsidR="00F53201" w:rsidRPr="00F53201" w:rsidRDefault="00F53201" w:rsidP="00F53201">
      <w:pPr>
        <w:rPr>
          <w:b/>
        </w:rPr>
      </w:pPr>
      <w:r w:rsidRPr="00F53201">
        <w:rPr>
          <w:b/>
        </w:rPr>
        <w:t>Training and Induction of Staff</w:t>
      </w:r>
    </w:p>
    <w:p w:rsidR="00F53201" w:rsidRPr="00F53201" w:rsidRDefault="00F53201" w:rsidP="00F53201">
      <w:r w:rsidRPr="00F53201">
        <w:t>Safeguarding training, including best practice guidelines for potential dangerous and violent</w:t>
      </w:r>
      <w:r>
        <w:t xml:space="preserve"> </w:t>
      </w:r>
      <w:r w:rsidRPr="00F53201">
        <w:t>situations, is provided by FREE TO TALK to all staff.</w:t>
      </w:r>
    </w:p>
    <w:p w:rsidR="00F53201" w:rsidRPr="00F53201" w:rsidRDefault="00F53201" w:rsidP="00F53201">
      <w:pPr>
        <w:rPr>
          <w:b/>
        </w:rPr>
      </w:pPr>
      <w:r w:rsidRPr="00F53201">
        <w:rPr>
          <w:b/>
        </w:rPr>
        <w:t>Induction includes:</w:t>
      </w:r>
    </w:p>
    <w:p w:rsidR="00F53201" w:rsidRPr="00F53201" w:rsidRDefault="00F53201" w:rsidP="00592532">
      <w:pPr>
        <w:pStyle w:val="ListParagraph"/>
        <w:numPr>
          <w:ilvl w:val="0"/>
          <w:numId w:val="24"/>
        </w:numPr>
      </w:pPr>
      <w:r w:rsidRPr="00F53201">
        <w:t>Discussion of the Safeguarding Policy (and signed confirmation of understanding).</w:t>
      </w:r>
    </w:p>
    <w:p w:rsidR="00F53201" w:rsidRPr="00F53201" w:rsidRDefault="00F53201" w:rsidP="00592532">
      <w:pPr>
        <w:pStyle w:val="ListParagraph"/>
        <w:numPr>
          <w:ilvl w:val="0"/>
          <w:numId w:val="24"/>
        </w:numPr>
      </w:pPr>
      <w:r w:rsidRPr="00F53201">
        <w:t>Discussion of other relevant policies.</w:t>
      </w:r>
    </w:p>
    <w:p w:rsidR="00F53201" w:rsidRPr="00F53201" w:rsidRDefault="00F53201" w:rsidP="00592532">
      <w:pPr>
        <w:pStyle w:val="ListParagraph"/>
        <w:numPr>
          <w:ilvl w:val="0"/>
          <w:numId w:val="24"/>
        </w:numPr>
      </w:pPr>
      <w:r w:rsidRPr="00F53201">
        <w:t>Ensuring familiarity with reporting processes, the roles of line manager and Designated</w:t>
      </w:r>
      <w:r>
        <w:t xml:space="preserve"> </w:t>
      </w:r>
      <w:r w:rsidRPr="00F53201">
        <w:t>Safeguarding Lead (and who acts in their absence).</w:t>
      </w:r>
    </w:p>
    <w:p w:rsidR="00F53201" w:rsidRPr="00F53201" w:rsidRDefault="00F53201" w:rsidP="00592532">
      <w:pPr>
        <w:pStyle w:val="ListParagraph"/>
        <w:numPr>
          <w:ilvl w:val="0"/>
          <w:numId w:val="24"/>
        </w:numPr>
      </w:pPr>
      <w:r w:rsidRPr="00F53201">
        <w:t>Initial training on safeguarding, including: safe working practices, safe recruitment,</w:t>
      </w:r>
      <w:r>
        <w:t xml:space="preserve"> </w:t>
      </w:r>
      <w:r w:rsidRPr="00F53201">
        <w:t>understanding child protection and adult safeguarding.</w:t>
      </w:r>
    </w:p>
    <w:p w:rsidR="00F53201" w:rsidRPr="00592532" w:rsidRDefault="00F53201" w:rsidP="00F53201">
      <w:pPr>
        <w:pStyle w:val="ListParagraph"/>
        <w:numPr>
          <w:ilvl w:val="0"/>
          <w:numId w:val="24"/>
        </w:numPr>
      </w:pPr>
      <w:r w:rsidRPr="00F53201">
        <w:t>The competence of new staff in applying safe practices is assessed as part of the probation period.</w:t>
      </w:r>
    </w:p>
    <w:p w:rsidR="00F53201" w:rsidRPr="00F53201" w:rsidRDefault="00F53201" w:rsidP="00F53201">
      <w:pPr>
        <w:rPr>
          <w:b/>
        </w:rPr>
      </w:pPr>
      <w:r w:rsidRPr="00F53201">
        <w:rPr>
          <w:b/>
        </w:rPr>
        <w:t>Ethical Practice</w:t>
      </w:r>
    </w:p>
    <w:p w:rsidR="00F53201" w:rsidRPr="00F53201" w:rsidRDefault="00F53201" w:rsidP="00F53201">
      <w:r w:rsidRPr="00F53201">
        <w:t xml:space="preserve">FREE TO TALK abides by the </w:t>
      </w:r>
      <w:proofErr w:type="spellStart"/>
      <w:r w:rsidRPr="00F53201">
        <w:t>BACP</w:t>
      </w:r>
      <w:proofErr w:type="spellEnd"/>
      <w:r w:rsidRPr="00F53201">
        <w:t xml:space="preserve"> Ethical Framework for the Counselling Professions, and all FREE TO TALK Counsellors</w:t>
      </w:r>
      <w:r>
        <w:t xml:space="preserve"> are</w:t>
      </w:r>
      <w:r w:rsidRPr="00F53201">
        <w:t xml:space="preserve"> supervised.</w:t>
      </w:r>
    </w:p>
    <w:p w:rsidR="00F53201" w:rsidRPr="00F53201" w:rsidRDefault="00F53201" w:rsidP="00F53201">
      <w:r w:rsidRPr="00F53201">
        <w:t>Clients and members of the public should be confident that FREE TO TALK and all our employed staff,</w:t>
      </w:r>
      <w:r>
        <w:t xml:space="preserve"> </w:t>
      </w:r>
      <w:r w:rsidRPr="00F53201">
        <w:t xml:space="preserve">and Counsellors meet the appropriate </w:t>
      </w:r>
      <w:proofErr w:type="spellStart"/>
      <w:r w:rsidRPr="00F53201">
        <w:t>BACP</w:t>
      </w:r>
      <w:proofErr w:type="spellEnd"/>
      <w:r w:rsidRPr="00F53201">
        <w:t xml:space="preserve"> professional standards, and will always</w:t>
      </w:r>
      <w:r>
        <w:t xml:space="preserve"> </w:t>
      </w:r>
      <w:r w:rsidRPr="00F53201">
        <w:t>endeavour to provide a safe, confidential, knowledgeable and accountable service in accordance</w:t>
      </w:r>
      <w:r>
        <w:t xml:space="preserve"> </w:t>
      </w:r>
      <w:r w:rsidRPr="00F53201">
        <w:t>with safeguarding legislation.</w:t>
      </w:r>
    </w:p>
    <w:p w:rsidR="00F53201" w:rsidRPr="00F53201" w:rsidRDefault="00F53201" w:rsidP="00F53201"/>
    <w:p w:rsidR="00F53201" w:rsidRPr="00F53201" w:rsidRDefault="00F53201" w:rsidP="00F53201"/>
    <w:p w:rsidR="00F53201" w:rsidRPr="00F53201" w:rsidRDefault="00F53201" w:rsidP="00F53201"/>
    <w:p w:rsidR="00F53201" w:rsidRPr="00F53201" w:rsidRDefault="00F53201" w:rsidP="00F53201"/>
    <w:p w:rsidR="00E554A9" w:rsidRDefault="006F4E47"/>
    <w:sectPr w:rsidR="00E554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47" w:rsidRDefault="006F4E47" w:rsidP="00F53201">
      <w:pPr>
        <w:spacing w:after="0" w:line="240" w:lineRule="auto"/>
      </w:pPr>
      <w:r>
        <w:separator/>
      </w:r>
    </w:p>
  </w:endnote>
  <w:endnote w:type="continuationSeparator" w:id="0">
    <w:p w:rsidR="006F4E47" w:rsidRDefault="006F4E47" w:rsidP="00F5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29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A28" w:rsidRDefault="00555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A28" w:rsidRDefault="00555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47" w:rsidRDefault="006F4E47" w:rsidP="00F53201">
      <w:pPr>
        <w:spacing w:after="0" w:line="240" w:lineRule="auto"/>
      </w:pPr>
      <w:r>
        <w:separator/>
      </w:r>
    </w:p>
  </w:footnote>
  <w:footnote w:type="continuationSeparator" w:id="0">
    <w:p w:rsidR="006F4E47" w:rsidRDefault="006F4E47" w:rsidP="00F5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01" w:rsidRDefault="00F532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-151130</wp:posOffset>
          </wp:positionV>
          <wp:extent cx="1024255" cy="102425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E0"/>
    <w:multiLevelType w:val="hybridMultilevel"/>
    <w:tmpl w:val="0F2414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2C7211"/>
    <w:multiLevelType w:val="hybridMultilevel"/>
    <w:tmpl w:val="A992D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7260"/>
    <w:multiLevelType w:val="hybridMultilevel"/>
    <w:tmpl w:val="57EA1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7510"/>
    <w:multiLevelType w:val="hybridMultilevel"/>
    <w:tmpl w:val="8766E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6637"/>
    <w:multiLevelType w:val="hybridMultilevel"/>
    <w:tmpl w:val="1D0CB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6398E"/>
    <w:multiLevelType w:val="hybridMultilevel"/>
    <w:tmpl w:val="91E69A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352E8F"/>
    <w:multiLevelType w:val="hybridMultilevel"/>
    <w:tmpl w:val="D6867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58A4"/>
    <w:multiLevelType w:val="hybridMultilevel"/>
    <w:tmpl w:val="9208E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84E9F"/>
    <w:multiLevelType w:val="hybridMultilevel"/>
    <w:tmpl w:val="C43A9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3599E"/>
    <w:multiLevelType w:val="hybridMultilevel"/>
    <w:tmpl w:val="7C28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350E"/>
    <w:multiLevelType w:val="hybridMultilevel"/>
    <w:tmpl w:val="4B04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D5BDC"/>
    <w:multiLevelType w:val="hybridMultilevel"/>
    <w:tmpl w:val="92287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361E4"/>
    <w:multiLevelType w:val="hybridMultilevel"/>
    <w:tmpl w:val="E856CE84"/>
    <w:lvl w:ilvl="0" w:tplc="F5BE2B28">
      <w:start w:val="7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C16EF"/>
    <w:multiLevelType w:val="hybridMultilevel"/>
    <w:tmpl w:val="2A046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2C8F"/>
    <w:multiLevelType w:val="hybridMultilevel"/>
    <w:tmpl w:val="EDB26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A3D80"/>
    <w:multiLevelType w:val="hybridMultilevel"/>
    <w:tmpl w:val="35546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F082E"/>
    <w:multiLevelType w:val="hybridMultilevel"/>
    <w:tmpl w:val="114AA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B5177"/>
    <w:multiLevelType w:val="hybridMultilevel"/>
    <w:tmpl w:val="2B362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C5EF9"/>
    <w:multiLevelType w:val="hybridMultilevel"/>
    <w:tmpl w:val="83746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BE2B04"/>
    <w:multiLevelType w:val="hybridMultilevel"/>
    <w:tmpl w:val="C34A8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6402F"/>
    <w:multiLevelType w:val="hybridMultilevel"/>
    <w:tmpl w:val="22E046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CF5823"/>
    <w:multiLevelType w:val="hybridMultilevel"/>
    <w:tmpl w:val="DB62CD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216E39"/>
    <w:multiLevelType w:val="hybridMultilevel"/>
    <w:tmpl w:val="AE14D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E4049"/>
    <w:multiLevelType w:val="hybridMultilevel"/>
    <w:tmpl w:val="92A66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F2367C">
      <w:start w:val="7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17"/>
  </w:num>
  <w:num w:numId="11">
    <w:abstractNumId w:val="11"/>
  </w:num>
  <w:num w:numId="12">
    <w:abstractNumId w:val="6"/>
  </w:num>
  <w:num w:numId="13">
    <w:abstractNumId w:val="19"/>
  </w:num>
  <w:num w:numId="14">
    <w:abstractNumId w:val="8"/>
  </w:num>
  <w:num w:numId="15">
    <w:abstractNumId w:val="22"/>
  </w:num>
  <w:num w:numId="16">
    <w:abstractNumId w:val="13"/>
  </w:num>
  <w:num w:numId="17">
    <w:abstractNumId w:val="14"/>
  </w:num>
  <w:num w:numId="18">
    <w:abstractNumId w:val="10"/>
  </w:num>
  <w:num w:numId="19">
    <w:abstractNumId w:val="0"/>
  </w:num>
  <w:num w:numId="20">
    <w:abstractNumId w:val="21"/>
  </w:num>
  <w:num w:numId="21">
    <w:abstractNumId w:val="5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1"/>
    <w:rsid w:val="000E0058"/>
    <w:rsid w:val="00110EDA"/>
    <w:rsid w:val="00555A28"/>
    <w:rsid w:val="00592532"/>
    <w:rsid w:val="00644BCF"/>
    <w:rsid w:val="006F4E47"/>
    <w:rsid w:val="00852A78"/>
    <w:rsid w:val="00D84BCE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01"/>
  </w:style>
  <w:style w:type="paragraph" w:styleId="Footer">
    <w:name w:val="footer"/>
    <w:basedOn w:val="Normal"/>
    <w:link w:val="FooterChar"/>
    <w:uiPriority w:val="99"/>
    <w:unhideWhenUsed/>
    <w:rsid w:val="00F5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01"/>
  </w:style>
  <w:style w:type="paragraph" w:styleId="BalloonText">
    <w:name w:val="Balloon Text"/>
    <w:basedOn w:val="Normal"/>
    <w:link w:val="BalloonTextChar"/>
    <w:uiPriority w:val="99"/>
    <w:semiHidden/>
    <w:unhideWhenUsed/>
    <w:rsid w:val="00F5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01"/>
  </w:style>
  <w:style w:type="paragraph" w:styleId="Footer">
    <w:name w:val="footer"/>
    <w:basedOn w:val="Normal"/>
    <w:link w:val="FooterChar"/>
    <w:uiPriority w:val="99"/>
    <w:unhideWhenUsed/>
    <w:rsid w:val="00F5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01"/>
  </w:style>
  <w:style w:type="paragraph" w:styleId="BalloonText">
    <w:name w:val="Balloon Text"/>
    <w:basedOn w:val="Normal"/>
    <w:link w:val="BalloonTextChar"/>
    <w:uiPriority w:val="99"/>
    <w:semiHidden/>
    <w:unhideWhenUsed/>
    <w:rsid w:val="00F5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People Matter</dc:creator>
  <cp:lastModifiedBy>Young People Matter</cp:lastModifiedBy>
  <cp:revision>4</cp:revision>
  <dcterms:created xsi:type="dcterms:W3CDTF">2021-10-08T15:53:00Z</dcterms:created>
  <dcterms:modified xsi:type="dcterms:W3CDTF">2022-10-06T13:21:00Z</dcterms:modified>
</cp:coreProperties>
</file>